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EF785" w14:textId="37EAD860" w:rsidR="006127DB" w:rsidRPr="00F14452" w:rsidRDefault="006127DB" w:rsidP="006127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52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содержанию, в том числе составу, форме заявок на участие в </w:t>
      </w:r>
      <w:r w:rsidR="00D043EC">
        <w:rPr>
          <w:rFonts w:ascii="Times New Roman" w:hAnsi="Times New Roman" w:cs="Times New Roman"/>
          <w:b/>
          <w:sz w:val="24"/>
          <w:szCs w:val="24"/>
        </w:rPr>
        <w:t xml:space="preserve">открытом аукционе </w:t>
      </w:r>
      <w:r w:rsidRPr="00F14452">
        <w:rPr>
          <w:rFonts w:ascii="Times New Roman" w:hAnsi="Times New Roman" w:cs="Times New Roman"/>
          <w:b/>
          <w:sz w:val="24"/>
          <w:szCs w:val="24"/>
        </w:rPr>
        <w:t>и инструкция по заполнению заявок.</w:t>
      </w:r>
    </w:p>
    <w:p w14:paraId="7AA965BC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 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извещении и документации о проведении открытого аукциона. </w:t>
      </w:r>
    </w:p>
    <w:p w14:paraId="4FB0CF43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При этом:</w:t>
      </w:r>
    </w:p>
    <w:p w14:paraId="4D0C21D1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1. Заявки на участие в открытом аукционе предоставляются по форме и в порядке, которые указаны в документации об открытом аукционе, а также в месте и до истечения срока, которые указаны в извещении о проведении открытого аукциона.</w:t>
      </w:r>
    </w:p>
    <w:p w14:paraId="657A3F04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2. Участник открытого аукциона подает в письменной форме заявку на участие в открытом аукционе в запечатанном конверте, не позволяющем просматривать содержание заявки до вскрытия, или в форме электронного документа.</w:t>
      </w:r>
    </w:p>
    <w:p w14:paraId="1DD07278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3. Заявка на участие в открытом аукционе должна содержать:</w:t>
      </w:r>
    </w:p>
    <w:p w14:paraId="60C41C4A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а) информацию и документы об участнике открытого аукциона, подавшем такую заявку:</w:t>
      </w:r>
    </w:p>
    <w:p w14:paraId="5E7E33A6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1)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телефона;</w:t>
      </w:r>
    </w:p>
    <w:p w14:paraId="2A904F4F" w14:textId="58FE8B8B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2)</w:t>
      </w:r>
      <w:r w:rsidR="00426AA7">
        <w:rPr>
          <w:rFonts w:ascii="Times New Roman" w:hAnsi="Times New Roman" w:cs="Times New Roman"/>
          <w:sz w:val="24"/>
          <w:szCs w:val="24"/>
        </w:rPr>
        <w:t xml:space="preserve"> </w:t>
      </w:r>
      <w:r w:rsidR="00426AA7" w:rsidRPr="008B5DC5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</w:t>
      </w:r>
      <w:r w:rsidRPr="00F14452">
        <w:rPr>
          <w:rFonts w:ascii="Times New Roman" w:hAnsi="Times New Roman" w:cs="Times New Roman"/>
          <w:sz w:val="24"/>
          <w:szCs w:val="24"/>
        </w:rPr>
        <w:t>;</w:t>
      </w:r>
    </w:p>
    <w:p w14:paraId="7D3F41A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3) документ, подтверждающий полномочия лица на осуществление действий от имени участника открытого аукциона;</w:t>
      </w:r>
    </w:p>
    <w:p w14:paraId="7EC73142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4) копии учредительных документов участника открытого аукциона (для юридического лица);</w:t>
      </w:r>
    </w:p>
    <w:p w14:paraId="3AB99FCC" w14:textId="048D55BE" w:rsid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3D1F0A5A" w14:textId="777C042D" w:rsidR="00D87F17" w:rsidRPr="00F14452" w:rsidRDefault="00D87F17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87F17">
        <w:rPr>
          <w:rFonts w:ascii="Times New Roman" w:hAnsi="Times New Roman" w:cs="Times New Roman"/>
          <w:sz w:val="24"/>
          <w:szCs w:val="24"/>
        </w:rPr>
        <w:t xml:space="preserve">) информация об отсутствии у участника закупки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реструктуризированы, по которым </w:t>
      </w:r>
      <w:r w:rsidRPr="00D87F17">
        <w:rPr>
          <w:rFonts w:ascii="Times New Roman" w:hAnsi="Times New Roman" w:cs="Times New Roman"/>
          <w:sz w:val="24"/>
          <w:szCs w:val="24"/>
        </w:rPr>
        <w:lastRenderedPageBreak/>
        <w:t>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взысканию);</w:t>
      </w:r>
    </w:p>
    <w:p w14:paraId="7E342175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б) предложение участника открытого аукциона в отношении объекта закупки с приложением документов, подтверждающих соответствие этого объекта требованиям, установленным документацией об открытом аукционе;</w:t>
      </w:r>
    </w:p>
    <w:p w14:paraId="30F4893B" w14:textId="705A862D" w:rsid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в) документы, подтверждающие соответствие участника отрытого аукциона требованиям, установленным документацией об открытом аукционе</w:t>
      </w:r>
      <w:r w:rsidR="00D043EC">
        <w:rPr>
          <w:rFonts w:ascii="Times New Roman" w:hAnsi="Times New Roman" w:cs="Times New Roman"/>
          <w:sz w:val="24"/>
          <w:szCs w:val="24"/>
        </w:rPr>
        <w:t>:</w:t>
      </w:r>
    </w:p>
    <w:p w14:paraId="5BDA5924" w14:textId="64D56B6D" w:rsidR="00D043EC" w:rsidRPr="00F14452" w:rsidRDefault="00D043EC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в-1) лицензия на реализацию горюче-смазочных материалов</w:t>
      </w:r>
      <w:r w:rsidR="00274EF7">
        <w:rPr>
          <w:rFonts w:ascii="Times New Roman" w:hAnsi="Times New Roman" w:cs="Times New Roman"/>
          <w:sz w:val="24"/>
          <w:szCs w:val="24"/>
        </w:rPr>
        <w:t>;</w:t>
      </w:r>
    </w:p>
    <w:p w14:paraId="30415C80" w14:textId="6993F093" w:rsid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г) документы, подтверждающие право участника открытого аукциона на получение преимуществ, или копии этих документов</w:t>
      </w:r>
      <w:r w:rsidR="00757665">
        <w:rPr>
          <w:rFonts w:ascii="Times New Roman" w:hAnsi="Times New Roman" w:cs="Times New Roman"/>
          <w:sz w:val="24"/>
          <w:szCs w:val="24"/>
        </w:rPr>
        <w:t>;</w:t>
      </w:r>
    </w:p>
    <w:p w14:paraId="6B81349C" w14:textId="12A117AE" w:rsidR="00757665" w:rsidRPr="00F14452" w:rsidRDefault="00757665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57665">
        <w:rPr>
          <w:rFonts w:ascii="Times New Roman" w:hAnsi="Times New Roman" w:cs="Times New Roman"/>
          <w:sz w:val="24"/>
          <w:szCs w:val="24"/>
        </w:rPr>
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 (по форме утвержденной правовым актом Правительства Приднестровский Молдавской Республики).</w:t>
      </w:r>
    </w:p>
    <w:p w14:paraId="56865997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4. Все листы поданной в письменной форме заявки на участие в открытом аукционе, все листы тома такой заявки должны быть прошиты и пронумерованы. </w:t>
      </w:r>
    </w:p>
    <w:p w14:paraId="7B27CD71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Заявка на участие в открытом аукционе и том такой заявки должны содержать опись входящих в их состав документов, быть скреплены печатью участника открытого аукциона при наличии печати (для юридического лица) и подписаны участником открытого аукциона или лицом, уполномоченным участником открытого аукциона.</w:t>
      </w:r>
    </w:p>
    <w:p w14:paraId="41017537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Непосредственно участник открытого аукциона несет ответственность за подлинность и достоверность представленных информации и документов.</w:t>
      </w:r>
    </w:p>
    <w:p w14:paraId="6FFAA0E9" w14:textId="3D685472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t>5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Величина понижения начальной цены контракта «шаг аукциона».</w:t>
      </w:r>
    </w:p>
    <w:p w14:paraId="7CFBF3FE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Шаг аукциона – 0,5 % начальной (максимальной) цены контракта.</w:t>
      </w:r>
    </w:p>
    <w:p w14:paraId="68CC4019" w14:textId="4D982AB8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t>6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Информация о валюте, используемой для формирования цены контракта и расчетов с поставщиками (подрядчиками, исполнителями).</w:t>
      </w:r>
    </w:p>
    <w:p w14:paraId="7EC3DD6A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- рубли ПМР</w:t>
      </w:r>
    </w:p>
    <w:p w14:paraId="3B121FA6" w14:textId="121FC3D6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t>7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Информация о возможности заказчика изменить условия контракта</w:t>
      </w:r>
    </w:p>
    <w:p w14:paraId="4154EBC3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71E5641D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- изменение цены контракта в сторону уменьшения в случаях, связанных с уменьшением цены и (или) количества приобретаемого товара, работ, услуг, в пределах ассортимента товара (перечня работ, услуг), при сохранении условий поставки;</w:t>
      </w:r>
    </w:p>
    <w:p w14:paraId="083EA94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- изменение цен в сторону увеличения в пределах цены контракта и ассортимента товара на отдельный перечень импортируемых товаров, устанавливаемый законом о республиканском бюджете на очередной финансовый год;</w:t>
      </w:r>
    </w:p>
    <w:p w14:paraId="66F1665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lastRenderedPageBreak/>
        <w:t>- изменение количества приобретаемого товара, работ, услуг в сторону увеличения в случае снижения цены на товар, работы, услуги в пределах цены контракта и ассортимента товара (перечня работ, услуг), при сохранении условий поставки;</w:t>
      </w:r>
    </w:p>
    <w:p w14:paraId="55F08F2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- в иных случая, предусмотренных действующим законодательством и условиями контракта.</w:t>
      </w:r>
    </w:p>
    <w:p w14:paraId="08B143DC" w14:textId="4B4718F6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14452" w:rsidRPr="00F14452">
        <w:rPr>
          <w:rFonts w:ascii="Times New Roman" w:hAnsi="Times New Roman" w:cs="Times New Roman"/>
          <w:sz w:val="24"/>
          <w:szCs w:val="24"/>
        </w:rPr>
        <w:t xml:space="preserve">. 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Срок, в течение которого победитель открытого аукциона или иной участник, с которым заключается контракт при уклонении победителя такого аукциона от заключения контракта, должен подписать контракт, условия признания победителя такого аукциона или иного участника такого аукциона уклонившимся от заключения контракта.</w:t>
      </w:r>
    </w:p>
    <w:p w14:paraId="1384FD3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Контракт с победителем закупки заключается не позднее чем через 5 (пять) рабочих дней со дня размещения в информационной системе протокола открытого аукциона.</w:t>
      </w:r>
    </w:p>
    <w:p w14:paraId="6FF37DA6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В случае если в установленный срок победитель открытого аукциона не представил заказчику подписанный контракт, победитель открытого аукциона признается уклонившимся от заключения контракта.</w:t>
      </w:r>
    </w:p>
    <w:p w14:paraId="6B283280" w14:textId="5F89F6E3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t>9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Порядок, даты начала и окончания срока предоставления участникам аукциона разъяснений положений документации об аукционе.</w:t>
      </w:r>
    </w:p>
    <w:p w14:paraId="0026599B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Открытый аукцион проводится в соответствии с порядком, установленным Законом ПМР «О закупках в Приднестровской Молдавской Республике» с учетом нормативных актов Правительства ПМР, регламентирующих особенности проведения закупок.</w:t>
      </w:r>
    </w:p>
    <w:p w14:paraId="5A484196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Необходимая нормативная база опубликована в подразделе «Нормативные правовые документы» раздела «Закупки в ПМР» на официальном сайте Министерства экономического развития ПМР: http://mer.gospmr.org/zakupki-v-pmr/dokumenty-i-informaciya/norm.html.</w:t>
      </w:r>
    </w:p>
    <w:p w14:paraId="2108ECC4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 Извещение и документация о проведении закупки опубликованы в информационной системе в сфере закупок Приднестровской Молдавской Республики </w:t>
      </w:r>
      <w:hyperlink r:id="rId7" w:history="1">
        <w:r w:rsidRPr="00F14452">
          <w:rPr>
            <w:rStyle w:val="a4"/>
            <w:rFonts w:ascii="Times New Roman" w:hAnsi="Times New Roman" w:cs="Times New Roman"/>
            <w:sz w:val="24"/>
            <w:szCs w:val="24"/>
          </w:rPr>
          <w:t>http://zakupki.gospmr.org/</w:t>
        </w:r>
      </w:hyperlink>
      <w:r w:rsidRPr="00F14452">
        <w:rPr>
          <w:rFonts w:ascii="Times New Roman" w:hAnsi="Times New Roman" w:cs="Times New Roman"/>
          <w:sz w:val="24"/>
          <w:szCs w:val="24"/>
        </w:rPr>
        <w:t>.</w:t>
      </w:r>
    </w:p>
    <w:p w14:paraId="6E6FD1D3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(двух) рабочих дней со дня получения соответствующего заявления обязан предоставить такому лицу разъяснения положений документации об открытом аукционе, если указанный запрос поступил к заказчику не позднее, чем за 3 (три) дня до даты окончания срока подачи заявок на участие в открытом аукционе.</w:t>
      </w:r>
    </w:p>
    <w:p w14:paraId="52D17573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В течение 1 (одного)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запроса, но без указания лица, от которого поступил запрос.</w:t>
      </w:r>
    </w:p>
    <w:p w14:paraId="4893A8E6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Дата начала срока предоставления участникам аукциона разъяснений положений</w:t>
      </w:r>
    </w:p>
    <w:p w14:paraId="63C35D83" w14:textId="4AE679A3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  <w:r w:rsidR="00000407">
        <w:rPr>
          <w:rFonts w:ascii="Times New Roman" w:hAnsi="Times New Roman" w:cs="Times New Roman"/>
          <w:sz w:val="24"/>
          <w:szCs w:val="24"/>
        </w:rPr>
        <w:t>2</w:t>
      </w:r>
      <w:r w:rsidR="00460CF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F14452">
        <w:rPr>
          <w:rFonts w:ascii="Times New Roman" w:hAnsi="Times New Roman" w:cs="Times New Roman"/>
          <w:sz w:val="24"/>
          <w:szCs w:val="24"/>
        </w:rPr>
        <w:t>.</w:t>
      </w:r>
      <w:r w:rsidR="001D54F2">
        <w:rPr>
          <w:rFonts w:ascii="Times New Roman" w:hAnsi="Times New Roman" w:cs="Times New Roman"/>
          <w:sz w:val="24"/>
          <w:szCs w:val="24"/>
        </w:rPr>
        <w:t>0</w:t>
      </w:r>
      <w:r w:rsidR="00000407">
        <w:rPr>
          <w:rFonts w:ascii="Times New Roman" w:hAnsi="Times New Roman" w:cs="Times New Roman"/>
          <w:sz w:val="24"/>
          <w:szCs w:val="24"/>
        </w:rPr>
        <w:t>2</w:t>
      </w:r>
      <w:r w:rsidRPr="00F14452">
        <w:rPr>
          <w:rFonts w:ascii="Times New Roman" w:hAnsi="Times New Roman" w:cs="Times New Roman"/>
          <w:sz w:val="24"/>
          <w:szCs w:val="24"/>
        </w:rPr>
        <w:t>.202</w:t>
      </w:r>
      <w:r w:rsidR="00000407">
        <w:rPr>
          <w:rFonts w:ascii="Times New Roman" w:hAnsi="Times New Roman" w:cs="Times New Roman"/>
          <w:sz w:val="24"/>
          <w:szCs w:val="24"/>
        </w:rPr>
        <w:t>6</w:t>
      </w:r>
      <w:r w:rsidRPr="00F14452">
        <w:rPr>
          <w:rFonts w:ascii="Times New Roman" w:hAnsi="Times New Roman" w:cs="Times New Roman"/>
          <w:sz w:val="24"/>
          <w:szCs w:val="24"/>
        </w:rPr>
        <w:t xml:space="preserve"> г. в 1</w:t>
      </w:r>
      <w:r w:rsidR="002C54D6">
        <w:rPr>
          <w:rFonts w:ascii="Times New Roman" w:hAnsi="Times New Roman" w:cs="Times New Roman"/>
          <w:sz w:val="24"/>
          <w:szCs w:val="24"/>
        </w:rPr>
        <w:t>4</w:t>
      </w:r>
      <w:r w:rsidRPr="00F14452">
        <w:rPr>
          <w:rFonts w:ascii="Times New Roman" w:hAnsi="Times New Roman" w:cs="Times New Roman"/>
          <w:sz w:val="24"/>
          <w:szCs w:val="24"/>
        </w:rPr>
        <w:t>-00</w:t>
      </w:r>
    </w:p>
    <w:p w14:paraId="58E76240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Дата окончания срока предоставления участникам аукциона разъяснений положений</w:t>
      </w:r>
    </w:p>
    <w:p w14:paraId="3FB10E29" w14:textId="06D01F66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  <w:r w:rsidR="00000407">
        <w:rPr>
          <w:rFonts w:ascii="Times New Roman" w:hAnsi="Times New Roman" w:cs="Times New Roman"/>
          <w:sz w:val="24"/>
          <w:szCs w:val="24"/>
        </w:rPr>
        <w:t>04</w:t>
      </w:r>
      <w:r w:rsidRPr="00F14452">
        <w:rPr>
          <w:rFonts w:ascii="Times New Roman" w:hAnsi="Times New Roman" w:cs="Times New Roman"/>
          <w:sz w:val="24"/>
          <w:szCs w:val="24"/>
        </w:rPr>
        <w:t>.</w:t>
      </w:r>
      <w:r w:rsidR="001D54F2">
        <w:rPr>
          <w:rFonts w:ascii="Times New Roman" w:hAnsi="Times New Roman" w:cs="Times New Roman"/>
          <w:sz w:val="24"/>
          <w:szCs w:val="24"/>
        </w:rPr>
        <w:t>0</w:t>
      </w:r>
      <w:r w:rsidR="00000407">
        <w:rPr>
          <w:rFonts w:ascii="Times New Roman" w:hAnsi="Times New Roman" w:cs="Times New Roman"/>
          <w:sz w:val="24"/>
          <w:szCs w:val="24"/>
        </w:rPr>
        <w:t>3</w:t>
      </w:r>
      <w:r w:rsidRPr="00F14452">
        <w:rPr>
          <w:rFonts w:ascii="Times New Roman" w:hAnsi="Times New Roman" w:cs="Times New Roman"/>
          <w:sz w:val="24"/>
          <w:szCs w:val="24"/>
        </w:rPr>
        <w:t>.202</w:t>
      </w:r>
      <w:r w:rsidR="00000407">
        <w:rPr>
          <w:rFonts w:ascii="Times New Roman" w:hAnsi="Times New Roman" w:cs="Times New Roman"/>
          <w:sz w:val="24"/>
          <w:szCs w:val="24"/>
        </w:rPr>
        <w:t>6</w:t>
      </w:r>
      <w:r w:rsidRPr="00F14452">
        <w:rPr>
          <w:rFonts w:ascii="Times New Roman" w:hAnsi="Times New Roman" w:cs="Times New Roman"/>
          <w:sz w:val="24"/>
          <w:szCs w:val="24"/>
        </w:rPr>
        <w:t xml:space="preserve"> г. в 1</w:t>
      </w:r>
      <w:r w:rsidR="002C54D6">
        <w:rPr>
          <w:rFonts w:ascii="Times New Roman" w:hAnsi="Times New Roman" w:cs="Times New Roman"/>
          <w:sz w:val="24"/>
          <w:szCs w:val="24"/>
        </w:rPr>
        <w:t>4</w:t>
      </w:r>
      <w:r w:rsidRPr="00F14452">
        <w:rPr>
          <w:rFonts w:ascii="Times New Roman" w:hAnsi="Times New Roman" w:cs="Times New Roman"/>
          <w:sz w:val="24"/>
          <w:szCs w:val="24"/>
        </w:rPr>
        <w:t>-00</w:t>
      </w:r>
    </w:p>
    <w:p w14:paraId="06791DBB" w14:textId="3CB420BD" w:rsidR="00F14452" w:rsidRPr="00547E7B" w:rsidRDefault="00547E7B" w:rsidP="00F144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E7B">
        <w:rPr>
          <w:rFonts w:ascii="Times New Roman" w:hAnsi="Times New Roman" w:cs="Times New Roman"/>
          <w:bCs/>
          <w:sz w:val="24"/>
          <w:szCs w:val="24"/>
        </w:rPr>
        <w:lastRenderedPageBreak/>
        <w:t>10</w:t>
      </w:r>
      <w:r w:rsidR="00F14452" w:rsidRPr="00547E7B">
        <w:rPr>
          <w:rFonts w:ascii="Times New Roman" w:hAnsi="Times New Roman" w:cs="Times New Roman"/>
          <w:bCs/>
          <w:sz w:val="24"/>
          <w:szCs w:val="24"/>
        </w:rPr>
        <w:t>. Информация о возможности одностороннего отказа от исполнения контракта</w:t>
      </w:r>
    </w:p>
    <w:p w14:paraId="6F763272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Расторжение и изменение контракта может осуществляться по основаниям и в порядке, предусмотренным Гражданским кодексом Приднестровской Молдавской Республики с учетом норм Закона о закупках ПМР.</w:t>
      </w:r>
    </w:p>
    <w:p w14:paraId="247A435D" w14:textId="77777777" w:rsidR="00F14452" w:rsidRPr="00F14452" w:rsidRDefault="00F14452" w:rsidP="00F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Расторжение контракта допускается по соглашению сторон, по решению Арбитражного суда Приднестровской Молдавской Республики,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Республики.</w:t>
      </w:r>
    </w:p>
    <w:p w14:paraId="0EA5DB98" w14:textId="507E719B" w:rsidR="006127DB" w:rsidRPr="00F14452" w:rsidRDefault="00F14452" w:rsidP="00D043EC">
      <w:pPr>
        <w:jc w:val="both"/>
        <w:rPr>
          <w:rFonts w:ascii="Times New Roman" w:hAnsi="Times New Roman" w:cs="Times New Roman"/>
          <w:sz w:val="24"/>
          <w:szCs w:val="24"/>
        </w:rPr>
      </w:pPr>
      <w:r w:rsidRPr="00F14452">
        <w:rPr>
          <w:rFonts w:ascii="Times New Roman" w:hAnsi="Times New Roman" w:cs="Times New Roman"/>
          <w:sz w:val="24"/>
          <w:szCs w:val="24"/>
        </w:rPr>
        <w:t>Информация о Продавце, с которым контракт был расторгнут, в связи с его односторонним отказом от исполнения контракта, включается в реестр недобросовестных поставщиков (подрядчиков, исполнителей).</w:t>
      </w:r>
    </w:p>
    <w:sectPr w:rsidR="006127DB" w:rsidRPr="00F14452" w:rsidSect="00D043EC">
      <w:footerReference w:type="default" r:id="rId8"/>
      <w:pgSz w:w="11906" w:h="16838"/>
      <w:pgMar w:top="851" w:right="850" w:bottom="567" w:left="1418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BF8A9" w14:textId="77777777" w:rsidR="00D27A28" w:rsidRDefault="00D27A28" w:rsidP="001605E3">
      <w:pPr>
        <w:spacing w:after="0" w:line="240" w:lineRule="auto"/>
      </w:pPr>
      <w:r>
        <w:separator/>
      </w:r>
    </w:p>
  </w:endnote>
  <w:endnote w:type="continuationSeparator" w:id="0">
    <w:p w14:paraId="11118745" w14:textId="77777777" w:rsidR="00D27A28" w:rsidRDefault="00D27A28" w:rsidP="0016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905522"/>
      <w:docPartObj>
        <w:docPartGallery w:val="Page Numbers (Bottom of Page)"/>
        <w:docPartUnique/>
      </w:docPartObj>
    </w:sdtPr>
    <w:sdtEndPr/>
    <w:sdtContent>
      <w:p w14:paraId="6FA678F1" w14:textId="77777777" w:rsidR="00D27A28" w:rsidRDefault="00D27A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AAE">
          <w:rPr>
            <w:noProof/>
          </w:rPr>
          <w:t>5</w:t>
        </w:r>
        <w:r>
          <w:fldChar w:fldCharType="end"/>
        </w:r>
      </w:p>
    </w:sdtContent>
  </w:sdt>
  <w:p w14:paraId="607A95FB" w14:textId="77777777" w:rsidR="00D27A28" w:rsidRDefault="00D27A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61F5A" w14:textId="77777777" w:rsidR="00D27A28" w:rsidRDefault="00D27A28" w:rsidP="001605E3">
      <w:pPr>
        <w:spacing w:after="0" w:line="240" w:lineRule="auto"/>
      </w:pPr>
      <w:r>
        <w:separator/>
      </w:r>
    </w:p>
  </w:footnote>
  <w:footnote w:type="continuationSeparator" w:id="0">
    <w:p w14:paraId="35E61E09" w14:textId="77777777" w:rsidR="00D27A28" w:rsidRDefault="00D27A28" w:rsidP="00160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F3C75"/>
    <w:multiLevelType w:val="hybridMultilevel"/>
    <w:tmpl w:val="306AB5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863"/>
    <w:rsid w:val="00000407"/>
    <w:rsid w:val="00005E08"/>
    <w:rsid w:val="000317FB"/>
    <w:rsid w:val="0005467C"/>
    <w:rsid w:val="00057BAD"/>
    <w:rsid w:val="0009174F"/>
    <w:rsid w:val="00094521"/>
    <w:rsid w:val="0009573D"/>
    <w:rsid w:val="000B741A"/>
    <w:rsid w:val="000C2AAE"/>
    <w:rsid w:val="000D157D"/>
    <w:rsid w:val="000F155D"/>
    <w:rsid w:val="00111A65"/>
    <w:rsid w:val="00116673"/>
    <w:rsid w:val="00117839"/>
    <w:rsid w:val="00136749"/>
    <w:rsid w:val="001605E3"/>
    <w:rsid w:val="001647EB"/>
    <w:rsid w:val="00190291"/>
    <w:rsid w:val="001C2894"/>
    <w:rsid w:val="001C6792"/>
    <w:rsid w:val="001D54F2"/>
    <w:rsid w:val="002417CB"/>
    <w:rsid w:val="0024260A"/>
    <w:rsid w:val="00247B67"/>
    <w:rsid w:val="00274EF7"/>
    <w:rsid w:val="002A3073"/>
    <w:rsid w:val="002B56BD"/>
    <w:rsid w:val="002C54D6"/>
    <w:rsid w:val="002D2468"/>
    <w:rsid w:val="002D314E"/>
    <w:rsid w:val="002D4825"/>
    <w:rsid w:val="002D5A10"/>
    <w:rsid w:val="00302CF1"/>
    <w:rsid w:val="00310372"/>
    <w:rsid w:val="00351995"/>
    <w:rsid w:val="00356823"/>
    <w:rsid w:val="003644C7"/>
    <w:rsid w:val="003D1D5C"/>
    <w:rsid w:val="00403CD7"/>
    <w:rsid w:val="00422939"/>
    <w:rsid w:val="00422CCB"/>
    <w:rsid w:val="00426AA7"/>
    <w:rsid w:val="00441A4E"/>
    <w:rsid w:val="0044751D"/>
    <w:rsid w:val="00451292"/>
    <w:rsid w:val="00455130"/>
    <w:rsid w:val="00460CF8"/>
    <w:rsid w:val="00465E2C"/>
    <w:rsid w:val="00465E2D"/>
    <w:rsid w:val="0048446B"/>
    <w:rsid w:val="004E6844"/>
    <w:rsid w:val="00547E7B"/>
    <w:rsid w:val="00555D0B"/>
    <w:rsid w:val="00590BFB"/>
    <w:rsid w:val="005D5968"/>
    <w:rsid w:val="00610D2B"/>
    <w:rsid w:val="006127DB"/>
    <w:rsid w:val="00687C88"/>
    <w:rsid w:val="00690187"/>
    <w:rsid w:val="006D0855"/>
    <w:rsid w:val="00713D9E"/>
    <w:rsid w:val="007549CC"/>
    <w:rsid w:val="00757665"/>
    <w:rsid w:val="0077060D"/>
    <w:rsid w:val="00772AF2"/>
    <w:rsid w:val="007A205C"/>
    <w:rsid w:val="007D6BEC"/>
    <w:rsid w:val="008055E4"/>
    <w:rsid w:val="00811ABA"/>
    <w:rsid w:val="00867856"/>
    <w:rsid w:val="00893303"/>
    <w:rsid w:val="00893FCB"/>
    <w:rsid w:val="008A0545"/>
    <w:rsid w:val="008B50DA"/>
    <w:rsid w:val="008F7479"/>
    <w:rsid w:val="00936FCE"/>
    <w:rsid w:val="00943847"/>
    <w:rsid w:val="00963EA1"/>
    <w:rsid w:val="009710A9"/>
    <w:rsid w:val="009A3BE2"/>
    <w:rsid w:val="009E6D4D"/>
    <w:rsid w:val="009F5E30"/>
    <w:rsid w:val="00A92123"/>
    <w:rsid w:val="00AA5C99"/>
    <w:rsid w:val="00AB100F"/>
    <w:rsid w:val="00AD5766"/>
    <w:rsid w:val="00AE1A49"/>
    <w:rsid w:val="00AF398D"/>
    <w:rsid w:val="00B51516"/>
    <w:rsid w:val="00B57906"/>
    <w:rsid w:val="00B618F5"/>
    <w:rsid w:val="00B62AE1"/>
    <w:rsid w:val="00B7016C"/>
    <w:rsid w:val="00BA1ACB"/>
    <w:rsid w:val="00BC265C"/>
    <w:rsid w:val="00BC3F12"/>
    <w:rsid w:val="00BD6BE0"/>
    <w:rsid w:val="00C04C25"/>
    <w:rsid w:val="00C147FC"/>
    <w:rsid w:val="00C30DFA"/>
    <w:rsid w:val="00C330AF"/>
    <w:rsid w:val="00C330B7"/>
    <w:rsid w:val="00C51560"/>
    <w:rsid w:val="00CB18FD"/>
    <w:rsid w:val="00CE2E99"/>
    <w:rsid w:val="00CF61AD"/>
    <w:rsid w:val="00D02462"/>
    <w:rsid w:val="00D043EC"/>
    <w:rsid w:val="00D22E6D"/>
    <w:rsid w:val="00D27A28"/>
    <w:rsid w:val="00D33A64"/>
    <w:rsid w:val="00D55237"/>
    <w:rsid w:val="00D81188"/>
    <w:rsid w:val="00D87F17"/>
    <w:rsid w:val="00D94863"/>
    <w:rsid w:val="00DA53C4"/>
    <w:rsid w:val="00DB31F4"/>
    <w:rsid w:val="00DF0D1B"/>
    <w:rsid w:val="00E13DCE"/>
    <w:rsid w:val="00E25F9B"/>
    <w:rsid w:val="00EA02C6"/>
    <w:rsid w:val="00EC0208"/>
    <w:rsid w:val="00EC6FB7"/>
    <w:rsid w:val="00EE7E59"/>
    <w:rsid w:val="00EF3D58"/>
    <w:rsid w:val="00F14452"/>
    <w:rsid w:val="00FB1D03"/>
    <w:rsid w:val="00FB43F3"/>
    <w:rsid w:val="00FD6CB1"/>
    <w:rsid w:val="00FE5923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D2AF402"/>
  <w15:docId w15:val="{441BFAA5-753F-40CD-88FD-03E6F932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45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8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A3BE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6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05E3"/>
  </w:style>
  <w:style w:type="paragraph" w:styleId="aa">
    <w:name w:val="footer"/>
    <w:basedOn w:val="a"/>
    <w:link w:val="ab"/>
    <w:uiPriority w:val="99"/>
    <w:unhideWhenUsed/>
    <w:rsid w:val="0016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5E3"/>
  </w:style>
  <w:style w:type="character" w:customStyle="1" w:styleId="ac">
    <w:name w:val="Основной текст_"/>
    <w:basedOn w:val="a0"/>
    <w:link w:val="1"/>
    <w:rsid w:val="00D0246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D0246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akupki.gospm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 Оксана</cp:lastModifiedBy>
  <cp:revision>66</cp:revision>
  <cp:lastPrinted>2022-02-07T13:47:00Z</cp:lastPrinted>
  <dcterms:created xsi:type="dcterms:W3CDTF">2021-02-19T09:30:00Z</dcterms:created>
  <dcterms:modified xsi:type="dcterms:W3CDTF">2026-02-25T09:07:00Z</dcterms:modified>
</cp:coreProperties>
</file>